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98" w:rsidRDefault="002F67FE" w:rsidP="00AC51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Procedure</w:t>
      </w:r>
      <w:r w:rsidR="002C6398" w:rsidRPr="002C6398">
        <w:rPr>
          <w:rFonts w:ascii="Arial" w:hAnsi="Arial" w:cs="Arial"/>
          <w:b/>
          <w:sz w:val="28"/>
          <w:szCs w:val="28"/>
          <w:u w:val="single"/>
        </w:rPr>
        <w:t xml:space="preserve"> for the supply of anticipatory medication </w:t>
      </w:r>
      <w:r w:rsidR="00B055F4">
        <w:rPr>
          <w:rFonts w:ascii="Arial" w:hAnsi="Arial" w:cs="Arial"/>
          <w:b/>
          <w:sz w:val="28"/>
          <w:szCs w:val="28"/>
          <w:u w:val="single"/>
        </w:rPr>
        <w:t xml:space="preserve">in </w:t>
      </w:r>
      <w:r w:rsidR="002C6398" w:rsidRPr="002C6398">
        <w:rPr>
          <w:rFonts w:ascii="Arial" w:hAnsi="Arial" w:cs="Arial"/>
          <w:b/>
          <w:sz w:val="28"/>
          <w:szCs w:val="28"/>
          <w:u w:val="single"/>
        </w:rPr>
        <w:t>secondary care</w:t>
      </w:r>
      <w:r w:rsidR="002C6398">
        <w:rPr>
          <w:rFonts w:ascii="Arial" w:hAnsi="Arial" w:cs="Arial"/>
          <w:b/>
          <w:sz w:val="24"/>
          <w:szCs w:val="24"/>
        </w:rPr>
        <w:t xml:space="preserve"> </w:t>
      </w:r>
    </w:p>
    <w:p w:rsidR="00B055F4" w:rsidRPr="00FC028C" w:rsidRDefault="002C6398" w:rsidP="00B055F4">
      <w:pPr>
        <w:rPr>
          <w:rFonts w:ascii="Arial" w:hAnsi="Arial" w:cs="Arial"/>
          <w:sz w:val="24"/>
          <w:szCs w:val="24"/>
        </w:rPr>
      </w:pPr>
      <w:r w:rsidRPr="00FC028C">
        <w:rPr>
          <w:rFonts w:ascii="Arial" w:hAnsi="Arial" w:cs="Arial"/>
          <w:sz w:val="24"/>
          <w:szCs w:val="24"/>
        </w:rPr>
        <w:t>If a patient is being discharged from hospital and it is considered likely that they may be in the last weeks</w:t>
      </w:r>
      <w:r w:rsidR="00C443AE" w:rsidRPr="00FC028C">
        <w:rPr>
          <w:rFonts w:ascii="Arial" w:hAnsi="Arial" w:cs="Arial"/>
          <w:sz w:val="24"/>
          <w:szCs w:val="24"/>
        </w:rPr>
        <w:t xml:space="preserve"> of life,</w:t>
      </w:r>
      <w:r w:rsidRPr="00FC028C">
        <w:rPr>
          <w:rFonts w:ascii="Arial" w:hAnsi="Arial" w:cs="Arial"/>
          <w:sz w:val="24"/>
          <w:szCs w:val="24"/>
        </w:rPr>
        <w:t xml:space="preserve"> clinicians should consider if it would be appropriate to prescribe anticipatory end of life medication in addition to </w:t>
      </w:r>
      <w:r w:rsidR="00C443AE" w:rsidRPr="00FC028C">
        <w:rPr>
          <w:rFonts w:ascii="Arial" w:hAnsi="Arial" w:cs="Arial"/>
          <w:sz w:val="24"/>
          <w:szCs w:val="24"/>
        </w:rPr>
        <w:t>the regular discharge medication.</w:t>
      </w:r>
    </w:p>
    <w:p w:rsidR="00B055F4" w:rsidRPr="00FC028C" w:rsidRDefault="00B055F4" w:rsidP="00B05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28C">
        <w:rPr>
          <w:rFonts w:ascii="Arial" w:hAnsi="Arial" w:cs="Arial"/>
          <w:sz w:val="24"/>
          <w:szCs w:val="24"/>
        </w:rPr>
        <w:t xml:space="preserve">Liaise with the GP and confirm if the patient already has anticipatory prescribing in place, e.g. a JIC bag. If not inform G.P. that the hospital will supply ‘end of </w:t>
      </w:r>
      <w:r w:rsidR="00FC028C">
        <w:rPr>
          <w:rFonts w:ascii="Arial" w:hAnsi="Arial" w:cs="Arial"/>
          <w:sz w:val="24"/>
          <w:szCs w:val="24"/>
        </w:rPr>
        <w:t xml:space="preserve">life’ </w:t>
      </w:r>
      <w:r w:rsidRPr="00FC028C">
        <w:rPr>
          <w:rFonts w:ascii="Arial" w:hAnsi="Arial" w:cs="Arial"/>
          <w:sz w:val="24"/>
          <w:szCs w:val="24"/>
        </w:rPr>
        <w:t>medication</w:t>
      </w:r>
      <w:r w:rsidR="00FC028C">
        <w:rPr>
          <w:rFonts w:ascii="Arial" w:hAnsi="Arial" w:cs="Arial"/>
          <w:sz w:val="24"/>
          <w:szCs w:val="24"/>
        </w:rPr>
        <w:t>.</w:t>
      </w:r>
    </w:p>
    <w:p w:rsidR="00B055F4" w:rsidRPr="00FC028C" w:rsidRDefault="00B055F4" w:rsidP="00B05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28C">
        <w:rPr>
          <w:rFonts w:ascii="Arial" w:hAnsi="Arial" w:cs="Arial"/>
          <w:sz w:val="24"/>
          <w:szCs w:val="24"/>
        </w:rPr>
        <w:t>Prescribe ONE drug for each of the four symptoms. Use the most appropriate medication for the individual patient.</w:t>
      </w:r>
    </w:p>
    <w:p w:rsidR="00B055F4" w:rsidRPr="00FC028C" w:rsidRDefault="002B423D" w:rsidP="00B05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prescribing,</w:t>
      </w:r>
      <w:r w:rsidR="00B055F4" w:rsidRPr="00FC028C">
        <w:rPr>
          <w:rFonts w:ascii="Arial" w:hAnsi="Arial" w:cs="Arial"/>
          <w:sz w:val="24"/>
          <w:szCs w:val="24"/>
        </w:rPr>
        <w:t xml:space="preserve"> clearly highli</w:t>
      </w:r>
      <w:r>
        <w:rPr>
          <w:rFonts w:ascii="Arial" w:hAnsi="Arial" w:cs="Arial"/>
          <w:sz w:val="24"/>
          <w:szCs w:val="24"/>
        </w:rPr>
        <w:t>ght as anticipatory medication in order to prevent the drugs being added to the patient’s repeat medication by the surgery.</w:t>
      </w:r>
    </w:p>
    <w:p w:rsidR="00B055F4" w:rsidRPr="00FC028C" w:rsidRDefault="00B055F4" w:rsidP="00B05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28C">
        <w:rPr>
          <w:rFonts w:ascii="Arial" w:hAnsi="Arial" w:cs="Arial"/>
          <w:sz w:val="24"/>
          <w:szCs w:val="24"/>
        </w:rPr>
        <w:t>Five ampoules of each drug should be sufficient, but more may be supplied if thought necessary.</w:t>
      </w:r>
    </w:p>
    <w:p w:rsidR="00B055F4" w:rsidRPr="00FC028C" w:rsidRDefault="00B055F4" w:rsidP="00B055F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028C">
        <w:rPr>
          <w:rFonts w:ascii="Arial" w:hAnsi="Arial" w:cs="Arial"/>
          <w:sz w:val="24"/>
          <w:szCs w:val="24"/>
        </w:rPr>
        <w:t>Write ‘as required’ doses on an All Wales Drug Chart. For opioid naive p</w:t>
      </w:r>
      <w:r w:rsidR="007410E6">
        <w:rPr>
          <w:rFonts w:ascii="Arial" w:hAnsi="Arial" w:cs="Arial"/>
          <w:sz w:val="24"/>
          <w:szCs w:val="24"/>
        </w:rPr>
        <w:t>atients prescribe a ‘prn’ dose o</w:t>
      </w:r>
      <w:r w:rsidRPr="00FC028C">
        <w:rPr>
          <w:rFonts w:ascii="Arial" w:hAnsi="Arial" w:cs="Arial"/>
          <w:sz w:val="24"/>
          <w:szCs w:val="24"/>
        </w:rPr>
        <w:t>f 2.5mg. If the patient is currently taking opioids use the equivalent of their current</w:t>
      </w:r>
      <w:r w:rsidR="00BF742C">
        <w:rPr>
          <w:rFonts w:ascii="Arial" w:hAnsi="Arial" w:cs="Arial"/>
          <w:sz w:val="24"/>
          <w:szCs w:val="24"/>
        </w:rPr>
        <w:t xml:space="preserve"> opioid</w:t>
      </w:r>
      <w:r w:rsidRPr="00FC028C">
        <w:rPr>
          <w:rFonts w:ascii="Arial" w:hAnsi="Arial" w:cs="Arial"/>
          <w:sz w:val="24"/>
          <w:szCs w:val="24"/>
        </w:rPr>
        <w:t xml:space="preserve"> prn dose.</w:t>
      </w:r>
    </w:p>
    <w:p w:rsidR="00B055F4" w:rsidRDefault="00B055F4" w:rsidP="002C6398">
      <w:pPr>
        <w:rPr>
          <w:rFonts w:ascii="Arial" w:hAnsi="Arial" w:cs="Arial"/>
          <w:sz w:val="24"/>
          <w:szCs w:val="24"/>
        </w:rPr>
      </w:pPr>
    </w:p>
    <w:p w:rsidR="00C443AE" w:rsidRPr="00AC51BE" w:rsidRDefault="00C443AE" w:rsidP="00AC51BE">
      <w:pPr>
        <w:jc w:val="center"/>
        <w:rPr>
          <w:rFonts w:ascii="Arial" w:hAnsi="Arial" w:cs="Arial"/>
          <w:b/>
          <w:sz w:val="24"/>
          <w:szCs w:val="24"/>
        </w:rPr>
      </w:pPr>
      <w:r w:rsidRPr="00AC51BE">
        <w:rPr>
          <w:rFonts w:ascii="Arial" w:hAnsi="Arial" w:cs="Arial"/>
          <w:b/>
          <w:sz w:val="24"/>
          <w:szCs w:val="24"/>
        </w:rPr>
        <w:t>Suggested drug choice</w:t>
      </w:r>
      <w:r w:rsidR="00AC51BE" w:rsidRPr="00AC51BE">
        <w:rPr>
          <w:rFonts w:ascii="Arial" w:hAnsi="Arial" w:cs="Arial"/>
          <w:b/>
          <w:sz w:val="24"/>
          <w:szCs w:val="24"/>
        </w:rPr>
        <w:t>s</w:t>
      </w:r>
    </w:p>
    <w:tbl>
      <w:tblPr>
        <w:tblStyle w:val="LightShading-Accent2"/>
        <w:tblW w:w="0" w:type="auto"/>
        <w:tblLook w:val="04A0"/>
      </w:tblPr>
      <w:tblGrid>
        <w:gridCol w:w="1856"/>
        <w:gridCol w:w="3637"/>
        <w:gridCol w:w="2540"/>
        <w:gridCol w:w="2649"/>
      </w:tblGrid>
      <w:tr w:rsidR="00F448C9" w:rsidRPr="000F43A6" w:rsidTr="000F43A6">
        <w:trPr>
          <w:cnfStyle w:val="100000000000"/>
          <w:trHeight w:val="746"/>
        </w:trPr>
        <w:tc>
          <w:tcPr>
            <w:cnfStyle w:val="001000000000"/>
            <w:tcW w:w="0" w:type="auto"/>
          </w:tcPr>
          <w:p w:rsidR="00C443AE" w:rsidRPr="000F43A6" w:rsidRDefault="00C443AE" w:rsidP="00BF742C">
            <w:pPr>
              <w:jc w:val="center"/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>Symptom</w:t>
            </w:r>
          </w:p>
        </w:tc>
        <w:tc>
          <w:tcPr>
            <w:tcW w:w="0" w:type="auto"/>
          </w:tcPr>
          <w:p w:rsidR="00C443AE" w:rsidRPr="000F43A6" w:rsidRDefault="00C443AE" w:rsidP="000F43A6">
            <w:pPr>
              <w:cnfStyle w:val="100000000000"/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>Alternative1</w:t>
            </w:r>
          </w:p>
        </w:tc>
        <w:tc>
          <w:tcPr>
            <w:tcW w:w="0" w:type="auto"/>
          </w:tcPr>
          <w:p w:rsidR="00C443AE" w:rsidRPr="000F43A6" w:rsidRDefault="00C443AE" w:rsidP="00B055F4">
            <w:pPr>
              <w:cnfStyle w:val="100000000000"/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>Alternative 2</w:t>
            </w:r>
          </w:p>
        </w:tc>
        <w:tc>
          <w:tcPr>
            <w:tcW w:w="0" w:type="auto"/>
          </w:tcPr>
          <w:p w:rsidR="00C443AE" w:rsidRPr="000F43A6" w:rsidRDefault="00C443AE" w:rsidP="00B055F4">
            <w:pPr>
              <w:cnfStyle w:val="100000000000"/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>Alternative 3</w:t>
            </w:r>
          </w:p>
        </w:tc>
      </w:tr>
      <w:tr w:rsidR="00F448C9" w:rsidRPr="000F43A6" w:rsidTr="000F43A6">
        <w:trPr>
          <w:cnfStyle w:val="000000100000"/>
          <w:trHeight w:val="987"/>
        </w:trPr>
        <w:tc>
          <w:tcPr>
            <w:cnfStyle w:val="001000000000"/>
            <w:tcW w:w="0" w:type="auto"/>
          </w:tcPr>
          <w:p w:rsidR="00C443AE" w:rsidRPr="000F43A6" w:rsidRDefault="00C443AE" w:rsidP="00BF742C">
            <w:pPr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>Pain</w:t>
            </w:r>
          </w:p>
        </w:tc>
        <w:tc>
          <w:tcPr>
            <w:tcW w:w="0" w:type="auto"/>
          </w:tcPr>
          <w:p w:rsidR="00C443AE" w:rsidRPr="000F43A6" w:rsidRDefault="00C443AE" w:rsidP="00AC51B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 xml:space="preserve">Diamorphine 10mg </w:t>
            </w:r>
          </w:p>
        </w:tc>
        <w:tc>
          <w:tcPr>
            <w:tcW w:w="0" w:type="auto"/>
          </w:tcPr>
          <w:p w:rsidR="00C443AE" w:rsidRPr="000F43A6" w:rsidRDefault="00C443AE" w:rsidP="00BF742C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>Morphine 10mg</w:t>
            </w:r>
          </w:p>
          <w:p w:rsidR="00C443AE" w:rsidRPr="000F43A6" w:rsidRDefault="00C443AE" w:rsidP="00BF742C">
            <w:pPr>
              <w:cnfStyle w:val="000000100000"/>
              <w:rPr>
                <w:rFonts w:ascii="Arial" w:hAnsi="Arial" w:cs="Arial"/>
                <w:i/>
                <w:color w:val="auto"/>
              </w:rPr>
            </w:pPr>
          </w:p>
        </w:tc>
        <w:tc>
          <w:tcPr>
            <w:tcW w:w="0" w:type="auto"/>
          </w:tcPr>
          <w:p w:rsidR="00C443AE" w:rsidRPr="000F43A6" w:rsidRDefault="00C443AE" w:rsidP="00AC51B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 xml:space="preserve">Oxycodone 10mg/ml </w:t>
            </w:r>
          </w:p>
        </w:tc>
      </w:tr>
      <w:tr w:rsidR="00F448C9" w:rsidRPr="000F43A6" w:rsidTr="000F43A6">
        <w:trPr>
          <w:trHeight w:val="1193"/>
        </w:trPr>
        <w:tc>
          <w:tcPr>
            <w:cnfStyle w:val="001000000000"/>
            <w:tcW w:w="0" w:type="auto"/>
          </w:tcPr>
          <w:p w:rsidR="00C443AE" w:rsidRPr="000F43A6" w:rsidRDefault="00C443AE" w:rsidP="00BF742C">
            <w:pPr>
              <w:rPr>
                <w:rFonts w:ascii="Arial" w:hAnsi="Arial" w:cs="Arial"/>
                <w:b w:val="0"/>
                <w:color w:val="auto"/>
              </w:rPr>
            </w:pPr>
            <w:r w:rsidRPr="000F43A6">
              <w:rPr>
                <w:rFonts w:ascii="Arial" w:hAnsi="Arial" w:cs="Arial"/>
                <w:b w:val="0"/>
                <w:color w:val="auto"/>
              </w:rPr>
              <w:t>Nausea / Vomiting</w:t>
            </w:r>
          </w:p>
        </w:tc>
        <w:tc>
          <w:tcPr>
            <w:tcW w:w="0" w:type="auto"/>
          </w:tcPr>
          <w:p w:rsidR="00F550DA" w:rsidRPr="000F43A6" w:rsidRDefault="00C443AE" w:rsidP="00AC51BE">
            <w:pPr>
              <w:cnfStyle w:val="000000000000"/>
              <w:rPr>
                <w:rFonts w:ascii="Arial" w:hAnsi="Arial" w:cs="Arial"/>
                <w:color w:val="auto"/>
              </w:rPr>
            </w:pPr>
            <w:proofErr w:type="spellStart"/>
            <w:r w:rsidRPr="000F43A6">
              <w:rPr>
                <w:rFonts w:ascii="Arial" w:hAnsi="Arial" w:cs="Arial"/>
                <w:color w:val="auto"/>
              </w:rPr>
              <w:t>Cyclizine</w:t>
            </w:r>
            <w:proofErr w:type="spellEnd"/>
          </w:p>
          <w:p w:rsidR="00C443AE" w:rsidRPr="000F43A6" w:rsidRDefault="00C443AE" w:rsidP="00AC51B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 xml:space="preserve"> 50mg/ml </w:t>
            </w:r>
          </w:p>
          <w:p w:rsidR="00F550DA" w:rsidRPr="000F43A6" w:rsidRDefault="00F550DA" w:rsidP="00AC51BE">
            <w:pPr>
              <w:cnfStyle w:val="000000000000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:rsidR="00F550DA" w:rsidRPr="000F43A6" w:rsidRDefault="00C443AE" w:rsidP="00AC51B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 xml:space="preserve">Haloperidol </w:t>
            </w:r>
          </w:p>
          <w:p w:rsidR="00C443AE" w:rsidRPr="000F43A6" w:rsidRDefault="00C443AE" w:rsidP="00AC51BE">
            <w:pPr>
              <w:cnfStyle w:val="000000000000"/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 xml:space="preserve">5mg/ml </w:t>
            </w:r>
          </w:p>
          <w:p w:rsidR="00F550DA" w:rsidRPr="000F43A6" w:rsidRDefault="00F550DA" w:rsidP="00AC51BE">
            <w:pPr>
              <w:cnfStyle w:val="000000000000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:rsidR="00C443AE" w:rsidRPr="000F43A6" w:rsidRDefault="00C443AE" w:rsidP="00AC51BE">
            <w:pPr>
              <w:cnfStyle w:val="000000000000"/>
              <w:rPr>
                <w:rFonts w:ascii="Arial" w:hAnsi="Arial" w:cs="Arial"/>
                <w:color w:val="auto"/>
              </w:rPr>
            </w:pPr>
            <w:proofErr w:type="spellStart"/>
            <w:r w:rsidRPr="000F43A6">
              <w:rPr>
                <w:rFonts w:ascii="Arial" w:hAnsi="Arial" w:cs="Arial"/>
                <w:color w:val="auto"/>
              </w:rPr>
              <w:t>Levomepromazine</w:t>
            </w:r>
            <w:proofErr w:type="spellEnd"/>
            <w:r w:rsidRPr="000F43A6">
              <w:rPr>
                <w:rFonts w:ascii="Arial" w:hAnsi="Arial" w:cs="Arial"/>
                <w:color w:val="auto"/>
              </w:rPr>
              <w:t xml:space="preserve"> 25mg/ml </w:t>
            </w:r>
          </w:p>
        </w:tc>
      </w:tr>
      <w:tr w:rsidR="00F448C9" w:rsidRPr="000F43A6" w:rsidTr="000F43A6">
        <w:trPr>
          <w:cnfStyle w:val="000000100000"/>
          <w:trHeight w:val="679"/>
        </w:trPr>
        <w:tc>
          <w:tcPr>
            <w:cnfStyle w:val="001000000000"/>
            <w:tcW w:w="0" w:type="auto"/>
          </w:tcPr>
          <w:p w:rsidR="00C443AE" w:rsidRPr="000F43A6" w:rsidRDefault="00F550DA" w:rsidP="00BF742C">
            <w:pPr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>Secretions</w:t>
            </w:r>
          </w:p>
        </w:tc>
        <w:tc>
          <w:tcPr>
            <w:tcW w:w="0" w:type="auto"/>
          </w:tcPr>
          <w:p w:rsidR="00C443AE" w:rsidRPr="000F43A6" w:rsidRDefault="00C443AE" w:rsidP="00AC51BE">
            <w:pPr>
              <w:cnfStyle w:val="000000100000"/>
              <w:rPr>
                <w:rFonts w:ascii="Arial" w:hAnsi="Arial" w:cs="Arial"/>
                <w:color w:val="auto"/>
              </w:rPr>
            </w:pPr>
            <w:proofErr w:type="spellStart"/>
            <w:r w:rsidRPr="000F43A6">
              <w:rPr>
                <w:rFonts w:ascii="Arial" w:hAnsi="Arial" w:cs="Arial"/>
                <w:color w:val="auto"/>
              </w:rPr>
              <w:t>Hyoscine</w:t>
            </w:r>
            <w:proofErr w:type="spellEnd"/>
            <w:r w:rsidRPr="000F43A6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0F43A6">
              <w:rPr>
                <w:rFonts w:ascii="Arial" w:hAnsi="Arial" w:cs="Arial"/>
                <w:color w:val="auto"/>
              </w:rPr>
              <w:t>Hydrobromide</w:t>
            </w:r>
            <w:proofErr w:type="spellEnd"/>
            <w:r w:rsidRPr="000F43A6">
              <w:rPr>
                <w:rFonts w:ascii="Arial" w:hAnsi="Arial" w:cs="Arial"/>
                <w:color w:val="auto"/>
              </w:rPr>
              <w:t xml:space="preserve"> 400mcg/ml  </w:t>
            </w:r>
          </w:p>
          <w:p w:rsidR="00F550DA" w:rsidRDefault="00F550DA" w:rsidP="00AC51BE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 xml:space="preserve">Usual dose </w:t>
            </w:r>
          </w:p>
          <w:p w:rsidR="000F43A6" w:rsidRPr="000F43A6" w:rsidRDefault="000F43A6" w:rsidP="00AC51BE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:rsidR="00C443AE" w:rsidRPr="000F43A6" w:rsidRDefault="00C443AE" w:rsidP="00AC51BE">
            <w:pPr>
              <w:cnfStyle w:val="000000100000"/>
              <w:rPr>
                <w:rFonts w:ascii="Arial" w:hAnsi="Arial" w:cs="Arial"/>
                <w:color w:val="auto"/>
              </w:rPr>
            </w:pPr>
            <w:proofErr w:type="spellStart"/>
            <w:r w:rsidRPr="000F43A6">
              <w:rPr>
                <w:rFonts w:ascii="Arial" w:hAnsi="Arial" w:cs="Arial"/>
                <w:color w:val="auto"/>
              </w:rPr>
              <w:t>Glycopyrronium</w:t>
            </w:r>
            <w:proofErr w:type="spellEnd"/>
            <w:r w:rsidRPr="000F43A6">
              <w:rPr>
                <w:rFonts w:ascii="Arial" w:hAnsi="Arial" w:cs="Arial"/>
                <w:color w:val="auto"/>
              </w:rPr>
              <w:t xml:space="preserve"> 200mcg/ml </w:t>
            </w:r>
          </w:p>
        </w:tc>
        <w:tc>
          <w:tcPr>
            <w:tcW w:w="0" w:type="auto"/>
          </w:tcPr>
          <w:p w:rsidR="00C443AE" w:rsidRPr="000F43A6" w:rsidRDefault="00C443AE" w:rsidP="00BF742C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</w:tr>
      <w:tr w:rsidR="00F448C9" w:rsidRPr="000F43A6" w:rsidTr="000F43A6">
        <w:trPr>
          <w:trHeight w:val="1067"/>
        </w:trPr>
        <w:tc>
          <w:tcPr>
            <w:cnfStyle w:val="001000000000"/>
            <w:tcW w:w="0" w:type="auto"/>
          </w:tcPr>
          <w:p w:rsidR="000F43A6" w:rsidRPr="000F43A6" w:rsidRDefault="00C443AE" w:rsidP="00BF742C">
            <w:pPr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>Anxiety</w:t>
            </w:r>
            <w:r w:rsidR="000F43A6">
              <w:rPr>
                <w:rFonts w:ascii="Arial" w:hAnsi="Arial" w:cs="Arial"/>
                <w:color w:val="auto"/>
              </w:rPr>
              <w:t>/ Agitation</w:t>
            </w:r>
          </w:p>
        </w:tc>
        <w:tc>
          <w:tcPr>
            <w:tcW w:w="0" w:type="auto"/>
          </w:tcPr>
          <w:p w:rsidR="00C443AE" w:rsidRPr="000F43A6" w:rsidRDefault="00C443AE" w:rsidP="00AC51BE">
            <w:pPr>
              <w:cnfStyle w:val="000000000000"/>
              <w:rPr>
                <w:rFonts w:ascii="Arial" w:hAnsi="Arial" w:cs="Arial"/>
                <w:color w:val="auto"/>
              </w:rPr>
            </w:pPr>
            <w:proofErr w:type="spellStart"/>
            <w:r w:rsidRPr="000F43A6">
              <w:rPr>
                <w:rFonts w:ascii="Arial" w:hAnsi="Arial" w:cs="Arial"/>
                <w:color w:val="auto"/>
              </w:rPr>
              <w:t>Midazolam</w:t>
            </w:r>
            <w:proofErr w:type="spellEnd"/>
            <w:r w:rsidRPr="000F43A6">
              <w:rPr>
                <w:rFonts w:ascii="Arial" w:hAnsi="Arial" w:cs="Arial"/>
                <w:color w:val="auto"/>
              </w:rPr>
              <w:t xml:space="preserve"> 10mg/2ml </w:t>
            </w:r>
          </w:p>
        </w:tc>
        <w:tc>
          <w:tcPr>
            <w:tcW w:w="0" w:type="auto"/>
          </w:tcPr>
          <w:p w:rsidR="00C443AE" w:rsidRPr="000F43A6" w:rsidRDefault="00C443AE" w:rsidP="00BF742C">
            <w:pPr>
              <w:cnfStyle w:val="000000000000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:rsidR="00C443AE" w:rsidRPr="000F43A6" w:rsidRDefault="00C443AE" w:rsidP="00BF742C">
            <w:pPr>
              <w:cnfStyle w:val="000000000000"/>
              <w:rPr>
                <w:rFonts w:ascii="Arial" w:hAnsi="Arial" w:cs="Arial"/>
                <w:color w:val="auto"/>
              </w:rPr>
            </w:pPr>
          </w:p>
        </w:tc>
      </w:tr>
      <w:tr w:rsidR="00F448C9" w:rsidRPr="000F43A6" w:rsidTr="000F43A6">
        <w:trPr>
          <w:cnfStyle w:val="000000100000"/>
          <w:trHeight w:val="75"/>
        </w:trPr>
        <w:tc>
          <w:tcPr>
            <w:cnfStyle w:val="001000000000"/>
            <w:tcW w:w="0" w:type="auto"/>
          </w:tcPr>
          <w:p w:rsidR="00C443AE" w:rsidRPr="000F43A6" w:rsidRDefault="00C443AE" w:rsidP="00BF742C">
            <w:pPr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>Other</w:t>
            </w:r>
          </w:p>
        </w:tc>
        <w:tc>
          <w:tcPr>
            <w:tcW w:w="0" w:type="auto"/>
          </w:tcPr>
          <w:p w:rsidR="00F448C9" w:rsidRDefault="00C443AE" w:rsidP="00BF742C">
            <w:pPr>
              <w:cnfStyle w:val="000000100000"/>
              <w:rPr>
                <w:rFonts w:ascii="Arial" w:hAnsi="Arial" w:cs="Arial"/>
                <w:color w:val="auto"/>
              </w:rPr>
            </w:pPr>
            <w:r w:rsidRPr="000F43A6">
              <w:rPr>
                <w:rFonts w:ascii="Arial" w:hAnsi="Arial" w:cs="Arial"/>
                <w:color w:val="auto"/>
              </w:rPr>
              <w:t>Water For Injection</w:t>
            </w:r>
            <w:r w:rsidR="001A3A01">
              <w:rPr>
                <w:rFonts w:ascii="Arial" w:hAnsi="Arial" w:cs="Arial"/>
                <w:color w:val="auto"/>
              </w:rPr>
              <w:t>s</w:t>
            </w:r>
            <w:r w:rsidR="00F448C9">
              <w:rPr>
                <w:rFonts w:ascii="Arial" w:hAnsi="Arial" w:cs="Arial"/>
                <w:color w:val="auto"/>
              </w:rPr>
              <w:t xml:space="preserve"> </w:t>
            </w:r>
          </w:p>
          <w:p w:rsidR="00F448C9" w:rsidRDefault="00F448C9" w:rsidP="00BF742C">
            <w:pPr>
              <w:cnfStyle w:val="000000100000"/>
              <w:rPr>
                <w:rFonts w:ascii="Arial" w:hAnsi="Arial" w:cs="Arial"/>
                <w:color w:val="auto"/>
              </w:rPr>
            </w:pPr>
          </w:p>
          <w:p w:rsidR="00C443AE" w:rsidRPr="000F43A6" w:rsidRDefault="00F448C9" w:rsidP="00BF742C">
            <w:pPr>
              <w:cnfStyle w:val="00000010000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And any other medicines deemed necessary </w:t>
            </w:r>
          </w:p>
          <w:p w:rsidR="00C443AE" w:rsidRPr="000F43A6" w:rsidRDefault="00C443AE" w:rsidP="00BF742C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:rsidR="00C443AE" w:rsidRPr="000F43A6" w:rsidRDefault="00C443AE" w:rsidP="00BF742C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</w:tcPr>
          <w:p w:rsidR="00C443AE" w:rsidRPr="000F43A6" w:rsidRDefault="00C443AE" w:rsidP="00BF742C">
            <w:pPr>
              <w:cnfStyle w:val="000000100000"/>
              <w:rPr>
                <w:rFonts w:ascii="Arial" w:hAnsi="Arial" w:cs="Arial"/>
                <w:color w:val="auto"/>
              </w:rPr>
            </w:pPr>
          </w:p>
        </w:tc>
      </w:tr>
    </w:tbl>
    <w:p w:rsidR="00FC028C" w:rsidRDefault="00FC028C" w:rsidP="00B055F4">
      <w:pPr>
        <w:rPr>
          <w:rFonts w:ascii="Arial" w:hAnsi="Arial" w:cs="Arial"/>
          <w:sz w:val="28"/>
          <w:szCs w:val="28"/>
        </w:rPr>
      </w:pPr>
    </w:p>
    <w:p w:rsidR="002C6398" w:rsidRPr="00B055F4" w:rsidRDefault="00F550DA" w:rsidP="00B055F4">
      <w:pPr>
        <w:rPr>
          <w:rFonts w:ascii="Arial" w:hAnsi="Arial" w:cs="Arial"/>
          <w:sz w:val="28"/>
          <w:szCs w:val="28"/>
        </w:rPr>
      </w:pPr>
      <w:r w:rsidRPr="00B055F4">
        <w:rPr>
          <w:rFonts w:ascii="Arial" w:hAnsi="Arial" w:cs="Arial"/>
          <w:sz w:val="28"/>
          <w:szCs w:val="28"/>
        </w:rPr>
        <w:t xml:space="preserve">The </w:t>
      </w:r>
      <w:r w:rsidR="002F67FE">
        <w:rPr>
          <w:rFonts w:ascii="Arial" w:hAnsi="Arial" w:cs="Arial"/>
          <w:sz w:val="28"/>
          <w:szCs w:val="28"/>
        </w:rPr>
        <w:t xml:space="preserve">hospital </w:t>
      </w:r>
      <w:r w:rsidR="00C0519A" w:rsidRPr="00B055F4">
        <w:rPr>
          <w:rFonts w:ascii="Arial" w:hAnsi="Arial" w:cs="Arial"/>
          <w:sz w:val="28"/>
          <w:szCs w:val="28"/>
        </w:rPr>
        <w:t>pharmacy</w:t>
      </w:r>
      <w:r w:rsidRPr="00B055F4">
        <w:rPr>
          <w:rFonts w:ascii="Arial" w:hAnsi="Arial" w:cs="Arial"/>
          <w:sz w:val="28"/>
          <w:szCs w:val="28"/>
        </w:rPr>
        <w:t xml:space="preserve"> will supply the medication in</w:t>
      </w:r>
      <w:r w:rsidR="000F43A6" w:rsidRPr="00B055F4">
        <w:rPr>
          <w:rFonts w:ascii="Arial" w:hAnsi="Arial" w:cs="Arial"/>
          <w:sz w:val="28"/>
          <w:szCs w:val="28"/>
        </w:rPr>
        <w:t xml:space="preserve"> an</w:t>
      </w:r>
      <w:r w:rsidR="00C0519A" w:rsidRPr="00B055F4">
        <w:rPr>
          <w:rFonts w:ascii="Arial" w:hAnsi="Arial" w:cs="Arial"/>
          <w:sz w:val="28"/>
          <w:szCs w:val="28"/>
        </w:rPr>
        <w:t xml:space="preserve"> orange plastic bag separately from the other discharge </w:t>
      </w:r>
      <w:r w:rsidR="000F43A6" w:rsidRPr="00B055F4">
        <w:rPr>
          <w:rFonts w:ascii="Arial" w:hAnsi="Arial" w:cs="Arial"/>
          <w:sz w:val="28"/>
          <w:szCs w:val="28"/>
        </w:rPr>
        <w:t xml:space="preserve">medication. The bag will be labelled with the </w:t>
      </w:r>
      <w:r w:rsidR="00C0519A" w:rsidRPr="00B055F4">
        <w:rPr>
          <w:rFonts w:ascii="Arial" w:hAnsi="Arial" w:cs="Arial"/>
          <w:sz w:val="28"/>
          <w:szCs w:val="28"/>
        </w:rPr>
        <w:t>patient details</w:t>
      </w:r>
      <w:r w:rsidR="000F43A6" w:rsidRPr="00B055F4">
        <w:rPr>
          <w:rFonts w:ascii="Arial" w:hAnsi="Arial" w:cs="Arial"/>
          <w:sz w:val="28"/>
          <w:szCs w:val="28"/>
        </w:rPr>
        <w:t>, expiry date</w:t>
      </w:r>
      <w:r w:rsidR="00C0519A" w:rsidRPr="00B055F4">
        <w:rPr>
          <w:rFonts w:ascii="Arial" w:hAnsi="Arial" w:cs="Arial"/>
          <w:sz w:val="28"/>
          <w:szCs w:val="28"/>
        </w:rPr>
        <w:t xml:space="preserve"> and storage requirements. The bag will also contain symptom control guidelines and a patient information leaflet</w:t>
      </w:r>
      <w:r w:rsidR="00FC028C">
        <w:rPr>
          <w:rFonts w:ascii="Arial" w:hAnsi="Arial" w:cs="Arial"/>
          <w:sz w:val="28"/>
          <w:szCs w:val="28"/>
        </w:rPr>
        <w:t>.</w:t>
      </w:r>
    </w:p>
    <w:sectPr w:rsidR="002C6398" w:rsidRPr="00B055F4" w:rsidSect="00AC5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42C" w:rsidRDefault="00BF742C" w:rsidP="002C6398">
      <w:pPr>
        <w:spacing w:after="0" w:line="240" w:lineRule="auto"/>
      </w:pPr>
      <w:r>
        <w:separator/>
      </w:r>
    </w:p>
  </w:endnote>
  <w:endnote w:type="continuationSeparator" w:id="0">
    <w:p w:rsidR="00BF742C" w:rsidRDefault="00BF742C" w:rsidP="002C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2C" w:rsidRDefault="00BF74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2C" w:rsidRDefault="00BF74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2C" w:rsidRDefault="00BF7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42C" w:rsidRDefault="00BF742C" w:rsidP="002C6398">
      <w:pPr>
        <w:spacing w:after="0" w:line="240" w:lineRule="auto"/>
      </w:pPr>
      <w:r>
        <w:separator/>
      </w:r>
    </w:p>
  </w:footnote>
  <w:footnote w:type="continuationSeparator" w:id="0">
    <w:p w:rsidR="00BF742C" w:rsidRDefault="00BF742C" w:rsidP="002C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2C" w:rsidRDefault="00BF74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2C" w:rsidRDefault="00BF74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2C" w:rsidRDefault="00BF74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7894"/>
    <w:multiLevelType w:val="hybridMultilevel"/>
    <w:tmpl w:val="61F4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6398"/>
    <w:rsid w:val="000F43A6"/>
    <w:rsid w:val="00122D66"/>
    <w:rsid w:val="001A3A01"/>
    <w:rsid w:val="002B423D"/>
    <w:rsid w:val="002C6398"/>
    <w:rsid w:val="002F67FE"/>
    <w:rsid w:val="00501DFC"/>
    <w:rsid w:val="00660821"/>
    <w:rsid w:val="007410E6"/>
    <w:rsid w:val="007646D4"/>
    <w:rsid w:val="0079378E"/>
    <w:rsid w:val="0081590D"/>
    <w:rsid w:val="008E3D19"/>
    <w:rsid w:val="00934D7E"/>
    <w:rsid w:val="00AC51BE"/>
    <w:rsid w:val="00B055F4"/>
    <w:rsid w:val="00B20B61"/>
    <w:rsid w:val="00BF742C"/>
    <w:rsid w:val="00C0519A"/>
    <w:rsid w:val="00C42E74"/>
    <w:rsid w:val="00C443AE"/>
    <w:rsid w:val="00D4036B"/>
    <w:rsid w:val="00E46B62"/>
    <w:rsid w:val="00EE6536"/>
    <w:rsid w:val="00F448C9"/>
    <w:rsid w:val="00F550DA"/>
    <w:rsid w:val="00FC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6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398"/>
  </w:style>
  <w:style w:type="paragraph" w:styleId="Footer">
    <w:name w:val="footer"/>
    <w:basedOn w:val="Normal"/>
    <w:link w:val="FooterChar"/>
    <w:uiPriority w:val="99"/>
    <w:semiHidden/>
    <w:unhideWhenUsed/>
    <w:rsid w:val="002C63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398"/>
  </w:style>
  <w:style w:type="paragraph" w:styleId="ListParagraph">
    <w:name w:val="List Paragraph"/>
    <w:basedOn w:val="Normal"/>
    <w:uiPriority w:val="34"/>
    <w:qFormat/>
    <w:rsid w:val="00C0519A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0F43A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Hywel Dda Health Board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el025928</dc:creator>
  <cp:lastModifiedBy>el025928</cp:lastModifiedBy>
  <cp:revision>3</cp:revision>
  <cp:lastPrinted>2018-04-23T08:29:00Z</cp:lastPrinted>
  <dcterms:created xsi:type="dcterms:W3CDTF">2018-04-23T08:41:00Z</dcterms:created>
  <dcterms:modified xsi:type="dcterms:W3CDTF">2018-04-23T14:12:00Z</dcterms:modified>
</cp:coreProperties>
</file>